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54E" w14:textId="77777777" w:rsidR="00A522C8" w:rsidRPr="00212228" w:rsidRDefault="00A522C8" w:rsidP="00B661CA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5D6D5D75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47A72F77" w14:textId="106C2D30" w:rsidR="009A079E" w:rsidRPr="00212228" w:rsidRDefault="00E74C07" w:rsidP="009A079E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</w:t>
      </w:r>
      <w:r w:rsidR="00120F81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="009A079E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</w:t>
      </w:r>
    </w:p>
    <w:p w14:paraId="73D4B986" w14:textId="1C3405E2" w:rsidR="009A079E" w:rsidRPr="00212228" w:rsidRDefault="009A079E" w:rsidP="009A079E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S.N.G.</w:t>
      </w:r>
      <w:r w:rsidR="00484B7A" w:rsidRPr="00212228">
        <w:rPr>
          <w:rFonts w:ascii="Trebuchet MS" w:hAnsi="Trebuchet MS" w:cs="Arial"/>
          <w:noProof/>
          <w:sz w:val="22"/>
          <w:szCs w:val="22"/>
          <w:lang w:val="ro-RO"/>
        </w:rPr>
        <w:t>N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E740F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4</w:t>
      </w:r>
      <w:r w:rsidR="0068786F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E740F2">
        <w:rPr>
          <w:rFonts w:ascii="Trebuchet MS" w:hAnsi="Trebuchet MS" w:cs="Arial"/>
          <w:b/>
          <w:noProof/>
          <w:sz w:val="22"/>
          <w:szCs w:val="22"/>
          <w:lang w:val="ro-RO"/>
        </w:rPr>
        <w:t>5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/>
        </w:rPr>
        <w:t>septembrie</w:t>
      </w:r>
      <w:r w:rsidR="00417369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42DE4CF4" w14:textId="77777777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Subsemnatul,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prenumele acţionarului persoană fizică), identificat cu B.I./C.I./paşaport seria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nr. [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____], eliberat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la data de [____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], CNP [__________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______________], având domiciliul în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__________________],</w:t>
      </w:r>
    </w:p>
    <w:p w14:paraId="653B0F78" w14:textId="2A67A166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acţiona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r la Data de Referinţă, 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adică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/>
        </w:rPr>
        <w:t>25 august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E740F2" w:rsidRPr="00E740F2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.85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.22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.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00</w:t>
      </w:r>
      <w:r w:rsidR="00B52FF7">
        <w:rPr>
          <w:rFonts w:ascii="Trebuchet MS" w:hAnsi="Trebuchet MS" w:cs="Arial"/>
          <w:noProof/>
          <w:sz w:val="22"/>
          <w:szCs w:val="22"/>
          <w:lang w:val="ro-RO"/>
        </w:rPr>
        <w:t>0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25CD5ED7" w14:textId="3B41A1FB" w:rsidR="00A522C8" w:rsidRPr="00212228" w:rsidRDefault="00A522C8" w:rsidP="00A522C8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 acţiuni, reprezentând 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__% din totalul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="006F1503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drepturi d</w:t>
      </w:r>
      <w:r w:rsidR="00F14423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vot în Adunarea Generală </w:t>
      </w:r>
      <w:r w:rsidR="00120F81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Acţionarilor, reprezentând 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___% din numărul total de </w:t>
      </w:r>
      <w:r w:rsidR="004B4ED6" w:rsidRPr="004B4ED6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2BC1554" w14:textId="77777777" w:rsidR="00A522C8" w:rsidRPr="00212228" w:rsidRDefault="00CA365C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148B0C56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___________] (se va completa cu numele si prenumele împuternicitului persoană fizică căruia i se acordă această împuternicire), identificat cu B.I./C.I./paşaport seria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nr. [__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__], eliberat de [___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_], la data de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CNP [_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___], având domiciliul în [________________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="000616B1" w:rsidRPr="00212228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________], </w:t>
      </w:r>
    </w:p>
    <w:p w14:paraId="35650A65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004CA5A7" w14:textId="77777777" w:rsidR="00A522C8" w:rsidRPr="00212228" w:rsidRDefault="00A522C8" w:rsidP="00A522C8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[___________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_____________] (se va completa cu denumirea împuternicitului persoană juridică căruia i se acordă această împuternicire), cu sediul social situat în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_________________], înmatriculată la Registrul Comerţului/entitate similară pentru persoane juridice nerezidente sub nr. [________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 (se va completa cu numele şi prenumele reprezentantului legal), identificat cu B.I./C.I./paşaport </w:t>
      </w:r>
      <w:r w:rsidR="00424059" w:rsidRPr="00212228">
        <w:rPr>
          <w:rFonts w:ascii="Trebuchet MS" w:hAnsi="Trebuchet MS" w:cs="Arial"/>
          <w:noProof/>
          <w:sz w:val="22"/>
          <w:szCs w:val="22"/>
          <w:lang w:val="ro-RO"/>
        </w:rPr>
        <w:t>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177BACCC" w14:textId="0F080B17" w:rsidR="00A522C8" w:rsidRPr="00212228" w:rsidRDefault="00A522C8" w:rsidP="00A522C8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să mă repre</w:t>
      </w:r>
      <w:r w:rsidR="00E74C07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zinte în Adunarea Generală </w:t>
      </w:r>
      <w:r w:rsidR="00120F8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Extraordinară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„ROMGAZ” – S.A. (denumită în continuare „</w:t>
      </w:r>
      <w:r w:rsidR="00120F81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AGEA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”) </w:t>
      </w:r>
      <w:r w:rsidR="00573E96"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="00573E96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E740F2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sau, în cazul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în care Adunarea Generală </w:t>
      </w:r>
      <w:r w:rsidR="00120F81">
        <w:rPr>
          <w:rFonts w:ascii="Trebuchet MS" w:hAnsi="Trebuchet MS" w:cs="Arial"/>
          <w:noProof/>
          <w:sz w:val="22"/>
          <w:szCs w:val="22"/>
          <w:lang w:val="ro-RO"/>
        </w:rPr>
        <w:t>Extraordinară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nu se va putea ţine la prima convocare, la data celei de a doua co</w:t>
      </w:r>
      <w:r w:rsidR="00E74C0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nvocări a Adunării Generale </w:t>
      </w:r>
      <w:r w:rsidR="00120F81">
        <w:rPr>
          <w:rFonts w:ascii="Trebuchet MS" w:hAnsi="Trebuchet MS" w:cs="Arial"/>
          <w:noProof/>
          <w:sz w:val="22"/>
          <w:szCs w:val="22"/>
          <w:lang w:val="ro-RO"/>
        </w:rPr>
        <w:t>Extraordinare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a Acţionarilor S.N.</w:t>
      </w:r>
      <w:r w:rsidR="0046008D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G.N. „ROMGAZ” – S.A., respectiv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</w:t>
      </w:r>
      <w:r w:rsidR="00E740F2" w:rsidRPr="00E740F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septembrie 2025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="00573E96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573E96"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="00785E04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 exercita dreptul de vot aferent deţinerilor mele înregistrate în registrul acţio</w:t>
      </w:r>
      <w:r w:rsidR="00520142"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narilor la Data de Referinţă,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25 august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7EA0B944" w14:textId="77777777"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6F065E2" w14:textId="77777777" w:rsidR="00B661CA" w:rsidRPr="00212228" w:rsidRDefault="00B661CA" w:rsidP="00B661CA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818F00" w14:textId="77777777" w:rsidR="007337FD" w:rsidRDefault="007337FD" w:rsidP="007337FD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857F59A" w14:textId="77777777" w:rsidR="0080757A" w:rsidRDefault="0080757A" w:rsidP="0080757A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CDDF467" w14:textId="77777777" w:rsidR="00E740F2" w:rsidRPr="00C10B8E" w:rsidRDefault="00E740F2" w:rsidP="00E740F2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9F605E9" w14:textId="136F1DF3" w:rsidR="00E740F2" w:rsidRPr="00C10B8E" w:rsidRDefault="00E740F2" w:rsidP="00E740F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bookmarkStart w:id="0" w:name="_Hlk194015402"/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abrogă Hotărârea Adunării Generale Extraordinare a Acționarilor </w:t>
      </w:r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>Societății</w:t>
      </w:r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>Naționale</w:t>
      </w:r>
      <w:r w:rsidRPr="00C10B8E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de Gaze Naturale „ROMGAZ” – S.A. nr. 3 din 29 aprilie 2025.</w:t>
      </w:r>
    </w:p>
    <w:bookmarkEnd w:id="0"/>
    <w:p w14:paraId="0E4D841B" w14:textId="77777777" w:rsidR="00E740F2" w:rsidRPr="00C10B8E" w:rsidRDefault="00E740F2" w:rsidP="00E740F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ED1A5B9" w14:textId="77777777" w:rsidR="00E740F2" w:rsidRPr="00C10B8E" w:rsidRDefault="00E740F2" w:rsidP="00E740F2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5BCF8099" w14:textId="77777777" w:rsidR="00E740F2" w:rsidRPr="00C10B8E" w:rsidRDefault="00E740F2" w:rsidP="00E740F2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428557FB" w14:textId="77777777" w:rsidR="00E740F2" w:rsidRPr="00C10B8E" w:rsidRDefault="00E740F2" w:rsidP="00E740F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08D0F54" w14:textId="77777777" w:rsidR="00E740F2" w:rsidRPr="00F716B8" w:rsidRDefault="00E740F2" w:rsidP="00E740F2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Adunarea Generală Extraordinară a Acționarilor Societăţii Naţionale de Gaze Naturale „ROMGAZ” – S.A. aprobă:</w:t>
      </w:r>
    </w:p>
    <w:p w14:paraId="0E91C683" w14:textId="77777777" w:rsidR="00E740F2" w:rsidRPr="00F716B8" w:rsidRDefault="00E740F2" w:rsidP="00E740F2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09793D86" w14:textId="77777777" w:rsidR="00E740F2" w:rsidRPr="00F716B8" w:rsidRDefault="00E740F2" w:rsidP="00E740F2">
      <w:pPr>
        <w:numPr>
          <w:ilvl w:val="0"/>
          <w:numId w:val="12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Înființarea și înregistrarea în Registrul de stat al persoanelor juridice din Republica Moldova a Societății cu Răspundere Limitată cu denumirea „Romgaz Trading S.R.L”.</w:t>
      </w:r>
    </w:p>
    <w:p w14:paraId="0B39FE6C" w14:textId="77777777" w:rsidR="00E740F2" w:rsidRPr="00F716B8" w:rsidRDefault="00E740F2" w:rsidP="00E740F2">
      <w:pPr>
        <w:ind w:left="360"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4AE22650" w14:textId="5955C6FA" w:rsidR="00E740F2" w:rsidRDefault="00E740F2" w:rsidP="00E740F2">
      <w:pPr>
        <w:numPr>
          <w:ilvl w:val="0"/>
          <w:numId w:val="12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Sediul social al „Romgaz Trading S.R.L” la adresa: mun. Chișinău, str. Mihai Eminescu nr. 70, MD – 2012, Republica Moldova.</w:t>
      </w:r>
    </w:p>
    <w:p w14:paraId="4ABF4BB2" w14:textId="77777777" w:rsidR="00E740F2" w:rsidRPr="007E52D4" w:rsidRDefault="00E740F2" w:rsidP="00E740F2">
      <w:p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60E4A3ED" w14:textId="77777777" w:rsidR="00E740F2" w:rsidRPr="00F716B8" w:rsidRDefault="00E740F2" w:rsidP="00E740F2">
      <w:pPr>
        <w:numPr>
          <w:ilvl w:val="0"/>
          <w:numId w:val="12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Capitalul social al „Romgaz Trading S.R.L” în valoare de 1.000.000 lei moldovenești (MDL).</w:t>
      </w:r>
    </w:p>
    <w:p w14:paraId="3E71A545" w14:textId="77777777" w:rsidR="00E740F2" w:rsidRPr="00F716B8" w:rsidRDefault="00E740F2" w:rsidP="00E740F2">
      <w:pPr>
        <w:ind w:left="720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28DE30AB" w14:textId="77777777" w:rsidR="00E740F2" w:rsidRPr="00F716B8" w:rsidRDefault="00E740F2" w:rsidP="00E740F2">
      <w:pPr>
        <w:numPr>
          <w:ilvl w:val="0"/>
          <w:numId w:val="12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Următoarele categorii de activități care urmează a fi desfășurate de către „Romgaz Trading S.R.L” conform Clasificatorului Activităților din Economia Moldovei (CAEM-2):</w:t>
      </w:r>
    </w:p>
    <w:p w14:paraId="6EFDD979" w14:textId="77777777" w:rsidR="00E740F2" w:rsidRPr="00F716B8" w:rsidRDefault="00E740F2" w:rsidP="00E740F2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35.23, Comercializarea combustibililor gazoși, prin conducte;</w:t>
      </w:r>
    </w:p>
    <w:p w14:paraId="1B8CF07E" w14:textId="77777777" w:rsidR="00E740F2" w:rsidRPr="00F716B8" w:rsidRDefault="00E740F2" w:rsidP="00E740F2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35.21, Producția gazelor;</w:t>
      </w:r>
    </w:p>
    <w:p w14:paraId="08F2DD3B" w14:textId="77777777" w:rsidR="00E740F2" w:rsidRPr="00F716B8" w:rsidRDefault="00E740F2" w:rsidP="00E740F2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35.22, Distribuția combustibililor gazoși prin conducte;</w:t>
      </w:r>
    </w:p>
    <w:p w14:paraId="681DD089" w14:textId="77777777" w:rsidR="00E740F2" w:rsidRPr="00F716B8" w:rsidRDefault="00E740F2" w:rsidP="00E740F2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35.14, Comercializarea energiei electrice;</w:t>
      </w:r>
    </w:p>
    <w:p w14:paraId="5AD60922" w14:textId="77777777" w:rsidR="00E740F2" w:rsidRPr="00F716B8" w:rsidRDefault="00E740F2" w:rsidP="00E740F2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35.11, Producția de energie electrică;</w:t>
      </w:r>
    </w:p>
    <w:p w14:paraId="602956BC" w14:textId="77777777" w:rsidR="00E740F2" w:rsidRPr="00F716B8" w:rsidRDefault="00E740F2" w:rsidP="00E740F2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>-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  <w:tab/>
        <w:t>Cod CAEM2 35.13, Distribuția energiei electrice.</w:t>
      </w:r>
    </w:p>
    <w:p w14:paraId="2CF14E07" w14:textId="77777777" w:rsidR="00E740F2" w:rsidRPr="00F716B8" w:rsidRDefault="00E740F2" w:rsidP="00E740F2">
      <w:pPr>
        <w:suppressAutoHyphens w:val="0"/>
        <w:ind w:left="360"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404B3351" w14:textId="77777777" w:rsidR="00E740F2" w:rsidRPr="00F716B8" w:rsidRDefault="00E740F2" w:rsidP="00E740F2">
      <w:pPr>
        <w:numPr>
          <w:ilvl w:val="0"/>
          <w:numId w:val="12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Proiectul Statutului societății „Romgaz Trading S.R.L.”.</w:t>
      </w:r>
    </w:p>
    <w:p w14:paraId="1FFC7CED" w14:textId="77777777" w:rsidR="00E740F2" w:rsidRPr="00F716B8" w:rsidRDefault="00E740F2" w:rsidP="00E740F2">
      <w:pPr>
        <w:ind w:left="360"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3451430D" w14:textId="77777777" w:rsidR="00E740F2" w:rsidRPr="00F716B8" w:rsidRDefault="00E740F2" w:rsidP="00E740F2">
      <w:pPr>
        <w:numPr>
          <w:ilvl w:val="0"/>
          <w:numId w:val="12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Împuternicirea Directorului General al Societăţii Naţionale de Gaze Naturale „ROMGAZ” – S.A. – domnul Răzvan Popescu, pentru semnarea Statutului societății „Romgaz Trading S.R.L.” și pentru numirea Administratorului acesteia.</w:t>
      </w:r>
    </w:p>
    <w:p w14:paraId="2C8610FB" w14:textId="77777777" w:rsidR="00E740F2" w:rsidRPr="00F716B8" w:rsidRDefault="00E740F2" w:rsidP="00E740F2">
      <w:pPr>
        <w:suppressAutoHyphens w:val="0"/>
        <w:ind w:right="9"/>
        <w:jc w:val="both"/>
        <w:rPr>
          <w:rFonts w:ascii="Trebuchet MS" w:hAnsi="Trebuchet MS" w:cs="Arial"/>
          <w:b/>
          <w:bCs/>
          <w:iCs/>
          <w:noProof/>
          <w:sz w:val="22"/>
          <w:szCs w:val="22"/>
          <w:lang w:val="ro-RO" w:eastAsia="ro-RO"/>
        </w:rPr>
      </w:pPr>
    </w:p>
    <w:p w14:paraId="2E463D0F" w14:textId="77777777" w:rsidR="00E740F2" w:rsidRPr="00F716B8" w:rsidRDefault="00E740F2" w:rsidP="00E740F2">
      <w:pPr>
        <w:numPr>
          <w:ilvl w:val="0"/>
          <w:numId w:val="12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Împuternicirea Directorului General al Societăţii Naţionale de Gaze Naturale „ROMGAZ” – S.A.</w:t>
      </w:r>
      <w:r w:rsidRPr="00C10B8E">
        <w:rPr>
          <w:rFonts w:ascii="Trebuchet MS" w:hAnsi="Trebuchet MS" w:cs="Arial"/>
          <w:b/>
          <w:bCs/>
          <w:iCs/>
          <w:noProof/>
          <w:sz w:val="22"/>
          <w:szCs w:val="22"/>
        </w:rPr>
        <w:t xml:space="preserve"> 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–</w:t>
      </w:r>
      <w:r w:rsidRPr="00C10B8E">
        <w:rPr>
          <w:rFonts w:ascii="Trebuchet MS" w:hAnsi="Trebuchet MS" w:cs="Arial"/>
          <w:b/>
          <w:bCs/>
          <w:iCs/>
          <w:noProof/>
          <w:sz w:val="22"/>
          <w:szCs w:val="22"/>
        </w:rPr>
        <w:t xml:space="preserve"> </w:t>
      </w: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domnul Răzvan Popescu, pentru emiterea unei procuri pentru desemnarea persoanelor care vor reprezenta Societatea Naţională de Gaze Naturale „ROMGAZ” – S.A. (Fondatorul) în procesul înregistrării „Romgaz Trading S.R.L.” în fața Instituției Publice „Agenția Servicii Publice” a Republicii Moldova. În scopul executării eficiente a mandatului și îndeplinirii tuturor formalităților necesare de înregistrare, Reprezentanții desemnați vor avea drept deplin de a întocmi și semna în numele Fondatorului, orice  documente, cereri, procese verbale, și de a achita orice taxe și costuri de înregistrare.</w:t>
      </w:r>
    </w:p>
    <w:p w14:paraId="57A1340D" w14:textId="77777777" w:rsidR="00E740F2" w:rsidRPr="00F716B8" w:rsidRDefault="00E740F2" w:rsidP="00E740F2">
      <w:pPr>
        <w:ind w:left="720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</w:p>
    <w:p w14:paraId="5E56BB20" w14:textId="77777777" w:rsidR="00E740F2" w:rsidRPr="00F716B8" w:rsidRDefault="00E740F2" w:rsidP="00E740F2">
      <w:pPr>
        <w:numPr>
          <w:ilvl w:val="0"/>
          <w:numId w:val="12"/>
        </w:numPr>
        <w:suppressAutoHyphens w:val="0"/>
        <w:ind w:right="9"/>
        <w:contextualSpacing/>
        <w:jc w:val="both"/>
        <w:rPr>
          <w:rFonts w:ascii="Trebuchet MS" w:hAnsi="Trebuchet MS" w:cs="Arial"/>
          <w:b/>
          <w:bCs/>
          <w:iCs/>
          <w:noProof/>
          <w:sz w:val="22"/>
          <w:szCs w:val="22"/>
        </w:rPr>
      </w:pPr>
      <w:r w:rsidRPr="00F716B8">
        <w:rPr>
          <w:rFonts w:ascii="Trebuchet MS" w:hAnsi="Trebuchet MS" w:cs="Arial"/>
          <w:b/>
          <w:bCs/>
          <w:iCs/>
          <w:noProof/>
          <w:sz w:val="22"/>
          <w:szCs w:val="22"/>
        </w:rPr>
        <w:t>Depunerea prezentei Hotărâri și înregistrarea societății „Romgaz Trading S.R.L.” în Registrul de Stat al persoanelor juridice la Instituția Publică Agenția Servicii Publice a Republicii Moldova.</w:t>
      </w:r>
    </w:p>
    <w:p w14:paraId="4055A3C0" w14:textId="77777777" w:rsidR="00E740F2" w:rsidRPr="00C10B8E" w:rsidRDefault="00E740F2" w:rsidP="00E740F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077D085" w14:textId="77777777" w:rsidR="00E740F2" w:rsidRPr="00C10B8E" w:rsidRDefault="00E740F2" w:rsidP="00E740F2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7F875B00" w14:textId="77777777" w:rsidR="00E740F2" w:rsidRPr="00C10B8E" w:rsidRDefault="00E740F2" w:rsidP="00E740F2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6BB034B" w14:textId="77777777" w:rsidR="00E740F2" w:rsidRPr="00C10B8E" w:rsidRDefault="00E740F2" w:rsidP="00E740F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3996750"/>
      <w:bookmarkStart w:id="2" w:name="_Hlk193997235"/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3 de pe ordinea de zi:</w:t>
      </w:r>
      <w:r w:rsidRPr="00C10B8E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4F7A0420" w14:textId="77777777" w:rsidR="00E740F2" w:rsidRPr="00C10B8E" w:rsidRDefault="00E740F2" w:rsidP="00E740F2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Extraordinare a Acţionarilor.</w:t>
      </w:r>
    </w:p>
    <w:p w14:paraId="16FD1C17" w14:textId="77777777" w:rsidR="00E740F2" w:rsidRPr="00C10B8E" w:rsidRDefault="00E740F2" w:rsidP="00E740F2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072B5761" w14:textId="77777777" w:rsidR="00E740F2" w:rsidRPr="00C10B8E" w:rsidRDefault="00E740F2" w:rsidP="00E740F2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10B8E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bookmarkEnd w:id="2"/>
    <w:p w14:paraId="41E82388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1A7FA44" w14:textId="77777777" w:rsidR="00D674A3" w:rsidRDefault="00D674A3" w:rsidP="00D674A3">
      <w:pPr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4070030" w14:textId="77777777" w:rsidR="00E740F2" w:rsidRDefault="00E740F2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288C008" w14:textId="38327D8B" w:rsidR="00A522C8" w:rsidRPr="00212228" w:rsidRDefault="00A522C8" w:rsidP="00D674A3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lastRenderedPageBreak/>
        <w:t>Prezenta împuternicire specială:</w:t>
      </w:r>
    </w:p>
    <w:p w14:paraId="233BADC4" w14:textId="74C4DB5C" w:rsidR="00A522C8" w:rsidRPr="00212228" w:rsidRDefault="00723245" w:rsidP="008E672F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doar pentru </w:t>
      </w:r>
      <w:r w:rsidR="00120F81"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="00A522C8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pentru care a fost solicitată (singura excepţie fiind cea de la punctul de mai jos), iar reprezentantul are obligaţia să voteze în conformitate cu instrucţiunile formulate de acţionarul care l-a desemnat</w:t>
      </w:r>
      <w:r w:rsidR="005E6A3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385F289" w14:textId="1C14F589" w:rsidR="00212228" w:rsidRPr="007337FD" w:rsidRDefault="00A522C8" w:rsidP="007337FD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şi pentru cea de-</w:t>
      </w:r>
      <w:r w:rsidR="00723245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doua convocare a aceleiaşi </w:t>
      </w:r>
      <w:r w:rsidR="00120F81">
        <w:rPr>
          <w:rFonts w:ascii="Trebuchet MS" w:hAnsi="Trebuchet MS" w:cs="Arial"/>
          <w:noProof/>
          <w:sz w:val="22"/>
          <w:szCs w:val="22"/>
          <w:lang w:val="ro-RO" w:eastAsia="ro-RO"/>
        </w:rPr>
        <w:t>AGEA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 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5</w:t>
      </w:r>
      <w:r w:rsidR="00E740F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septembrie 2025</w:t>
      </w:r>
      <w:r w:rsidR="0054345D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</w:t>
      </w:r>
      <w:r w:rsidR="00061D3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avea </w:t>
      </w:r>
      <w:r w:rsidR="00B024BA" w:rsidRPr="00212228">
        <w:rPr>
          <w:rFonts w:ascii="Trebuchet MS" w:hAnsi="Trebuchet MS" w:cs="Arial"/>
          <w:noProof/>
          <w:sz w:val="22"/>
          <w:szCs w:val="22"/>
          <w:lang w:val="ro-RO"/>
        </w:rPr>
        <w:t>loc</w:t>
      </w:r>
      <w:r w:rsidR="005D5BDB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="005D5BDB"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5D5BDB"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în cazul în care adunarea nu se întruneşt</w:t>
      </w:r>
      <w:r w:rsidR="00F54EB7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e legal şi statutar în data de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septembrie 2025</w:t>
      </w:r>
      <w:r w:rsidR="00F54EB7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, ora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04B6480E" w14:textId="3DAFDB36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 w:rsidR="009C73E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 septembrie 2025</w:t>
      </w:r>
      <w:r w:rsidR="002528C9"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="00723245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ora </w:t>
      </w:r>
      <w:r w:rsidR="00E740F2">
        <w:rPr>
          <w:rFonts w:ascii="Trebuchet MS" w:hAnsi="Trebuchet MS" w:cs="Arial"/>
          <w:b/>
          <w:noProof/>
          <w:sz w:val="22"/>
          <w:szCs w:val="22"/>
          <w:lang w:val="ro-RO"/>
        </w:rPr>
        <w:t>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5FF6E773" w14:textId="77777777" w:rsidR="000E4A87" w:rsidRPr="00107943" w:rsidRDefault="00A522C8" w:rsidP="00D674A3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1E1A009E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66967F11" w14:textId="77777777" w:rsidR="00A522C8" w:rsidRPr="00212228" w:rsidRDefault="00A522C8" w:rsidP="00A522C8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</w:t>
      </w:r>
      <w:r w:rsidR="000860A4"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ant la toate rubricile înscrise.</w:t>
      </w:r>
    </w:p>
    <w:p w14:paraId="3695AEEE" w14:textId="77777777" w:rsidR="00E67A46" w:rsidRDefault="00E67A4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64AEB0" w14:textId="77777777" w:rsidR="002D13A1" w:rsidRDefault="002D13A1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877CB" w14:textId="6B1C3FEA" w:rsidR="004B4ED6" w:rsidRDefault="004B4ED6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CCE839" w14:textId="77777777" w:rsidR="00E740F2" w:rsidRDefault="00E740F2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C7871E5" w14:textId="77777777" w:rsidR="00A522C8" w:rsidRPr="00212228" w:rsidRDefault="00A522C8" w:rsidP="00A522C8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33B66583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7612E39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14:paraId="66374687" w14:textId="77777777" w:rsidR="00A522C8" w:rsidRPr="00212228" w:rsidRDefault="00A522C8" w:rsidP="00A522C8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19992C4" w14:textId="77777777" w:rsidR="002E204D" w:rsidRPr="00212228" w:rsidRDefault="00A522C8" w:rsidP="008E672F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acţionarului persoană fizică)</w:t>
      </w:r>
    </w:p>
    <w:sectPr w:rsidR="002E204D" w:rsidRPr="00212228" w:rsidSect="007337FD">
      <w:footerReference w:type="even" r:id="rId8"/>
      <w:footerReference w:type="default" r:id="rId9"/>
      <w:footerReference w:type="first" r:id="rId10"/>
      <w:pgSz w:w="11907" w:h="16840" w:code="9"/>
      <w:pgMar w:top="1350" w:right="837" w:bottom="36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C1D4" w14:textId="77777777" w:rsidR="00003756" w:rsidRDefault="00003756">
      <w:r>
        <w:separator/>
      </w:r>
    </w:p>
  </w:endnote>
  <w:endnote w:type="continuationSeparator" w:id="0">
    <w:p w14:paraId="0A72E635" w14:textId="77777777" w:rsidR="00003756" w:rsidRDefault="0000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1BA9" w14:textId="77777777" w:rsidR="00E74C07" w:rsidRDefault="00E74C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6006F" w14:textId="77777777" w:rsidR="00E74C07" w:rsidRDefault="00E74C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824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B0DDC" w14:textId="77777777" w:rsidR="0054345D" w:rsidRDefault="005434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5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F9433" w14:textId="77777777" w:rsidR="00E74C07" w:rsidRDefault="00E74C0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9534" w14:textId="77777777" w:rsidR="00E74C07" w:rsidRDefault="00E74C07">
    <w:pPr>
      <w:pStyle w:val="Footer"/>
    </w:pPr>
    <w:r>
      <w:t xml:space="preserve">       </w:t>
    </w:r>
  </w:p>
  <w:p w14:paraId="199BC2F6" w14:textId="77777777" w:rsidR="00E74C07" w:rsidRDefault="00E74C07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4767" w14:textId="77777777" w:rsidR="00003756" w:rsidRDefault="00003756">
      <w:r>
        <w:separator/>
      </w:r>
    </w:p>
  </w:footnote>
  <w:footnote w:type="continuationSeparator" w:id="0">
    <w:p w14:paraId="41AB01DE" w14:textId="77777777" w:rsidR="00003756" w:rsidRDefault="0000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70B"/>
    <w:multiLevelType w:val="hybridMultilevel"/>
    <w:tmpl w:val="681A1C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3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5F548BB"/>
    <w:multiLevelType w:val="hybridMultilevel"/>
    <w:tmpl w:val="B60ECA08"/>
    <w:lvl w:ilvl="0" w:tplc="5EE87930">
      <w:start w:val="392"/>
      <w:numFmt w:val="bullet"/>
      <w:lvlText w:val="-"/>
      <w:lvlJc w:val="left"/>
      <w:pPr>
        <w:ind w:left="16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A3689"/>
    <w:multiLevelType w:val="hybridMultilevel"/>
    <w:tmpl w:val="B6D0C8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323FA0"/>
    <w:multiLevelType w:val="hybridMultilevel"/>
    <w:tmpl w:val="1C9A9F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C8"/>
    <w:rsid w:val="00003756"/>
    <w:rsid w:val="000068AD"/>
    <w:rsid w:val="000073F8"/>
    <w:rsid w:val="00010B9F"/>
    <w:rsid w:val="0002491A"/>
    <w:rsid w:val="00033569"/>
    <w:rsid w:val="000462CC"/>
    <w:rsid w:val="00054D2C"/>
    <w:rsid w:val="00055B44"/>
    <w:rsid w:val="000604D3"/>
    <w:rsid w:val="0006066B"/>
    <w:rsid w:val="000616B1"/>
    <w:rsid w:val="00061D37"/>
    <w:rsid w:val="00063D53"/>
    <w:rsid w:val="00070C34"/>
    <w:rsid w:val="000860A4"/>
    <w:rsid w:val="000C391E"/>
    <w:rsid w:val="000E4A87"/>
    <w:rsid w:val="000E520E"/>
    <w:rsid w:val="000E5F4E"/>
    <w:rsid w:val="001008C2"/>
    <w:rsid w:val="0010159A"/>
    <w:rsid w:val="00107943"/>
    <w:rsid w:val="001142D5"/>
    <w:rsid w:val="00120F81"/>
    <w:rsid w:val="00150B43"/>
    <w:rsid w:val="00155A17"/>
    <w:rsid w:val="00157DC9"/>
    <w:rsid w:val="00174E35"/>
    <w:rsid w:val="001835D4"/>
    <w:rsid w:val="0019227D"/>
    <w:rsid w:val="001A57F5"/>
    <w:rsid w:val="001A5F82"/>
    <w:rsid w:val="001B78DA"/>
    <w:rsid w:val="001D19A6"/>
    <w:rsid w:val="001D7AA1"/>
    <w:rsid w:val="001E66EA"/>
    <w:rsid w:val="001F1B20"/>
    <w:rsid w:val="00201005"/>
    <w:rsid w:val="00210D80"/>
    <w:rsid w:val="0021158A"/>
    <w:rsid w:val="00212228"/>
    <w:rsid w:val="002271E1"/>
    <w:rsid w:val="002377A2"/>
    <w:rsid w:val="002528C9"/>
    <w:rsid w:val="0026272D"/>
    <w:rsid w:val="002660AE"/>
    <w:rsid w:val="002738EC"/>
    <w:rsid w:val="002A6776"/>
    <w:rsid w:val="002B23E2"/>
    <w:rsid w:val="002C2C46"/>
    <w:rsid w:val="002D13A1"/>
    <w:rsid w:val="002D4848"/>
    <w:rsid w:val="002E204D"/>
    <w:rsid w:val="003111AB"/>
    <w:rsid w:val="00333668"/>
    <w:rsid w:val="00340F76"/>
    <w:rsid w:val="00342172"/>
    <w:rsid w:val="00355681"/>
    <w:rsid w:val="00360434"/>
    <w:rsid w:val="003627D8"/>
    <w:rsid w:val="003D2578"/>
    <w:rsid w:val="004154F8"/>
    <w:rsid w:val="00417369"/>
    <w:rsid w:val="00424059"/>
    <w:rsid w:val="00431C24"/>
    <w:rsid w:val="00441B23"/>
    <w:rsid w:val="00445C2A"/>
    <w:rsid w:val="0045751A"/>
    <w:rsid w:val="0046008D"/>
    <w:rsid w:val="004606CC"/>
    <w:rsid w:val="004632F0"/>
    <w:rsid w:val="00484B7A"/>
    <w:rsid w:val="004B4ED6"/>
    <w:rsid w:val="004E4525"/>
    <w:rsid w:val="0050000B"/>
    <w:rsid w:val="00500658"/>
    <w:rsid w:val="00513448"/>
    <w:rsid w:val="00515DAD"/>
    <w:rsid w:val="00520142"/>
    <w:rsid w:val="0052143F"/>
    <w:rsid w:val="00542572"/>
    <w:rsid w:val="0054345D"/>
    <w:rsid w:val="00543CF7"/>
    <w:rsid w:val="0056761D"/>
    <w:rsid w:val="00573E96"/>
    <w:rsid w:val="005A0785"/>
    <w:rsid w:val="005B3787"/>
    <w:rsid w:val="005D5594"/>
    <w:rsid w:val="005D5BDB"/>
    <w:rsid w:val="005E454F"/>
    <w:rsid w:val="005E6A35"/>
    <w:rsid w:val="006103C8"/>
    <w:rsid w:val="00610AB9"/>
    <w:rsid w:val="00611CE9"/>
    <w:rsid w:val="00614B99"/>
    <w:rsid w:val="006305E0"/>
    <w:rsid w:val="00634C3A"/>
    <w:rsid w:val="00652A31"/>
    <w:rsid w:val="00652A89"/>
    <w:rsid w:val="006677D9"/>
    <w:rsid w:val="0068786F"/>
    <w:rsid w:val="0069653E"/>
    <w:rsid w:val="006A29D5"/>
    <w:rsid w:val="006B4BC4"/>
    <w:rsid w:val="006C1FB0"/>
    <w:rsid w:val="006C71BF"/>
    <w:rsid w:val="006D0557"/>
    <w:rsid w:val="006D1811"/>
    <w:rsid w:val="006E1162"/>
    <w:rsid w:val="006E1462"/>
    <w:rsid w:val="006E4AD8"/>
    <w:rsid w:val="006E6492"/>
    <w:rsid w:val="006F1503"/>
    <w:rsid w:val="00723245"/>
    <w:rsid w:val="00726444"/>
    <w:rsid w:val="00731E41"/>
    <w:rsid w:val="007337FD"/>
    <w:rsid w:val="0074518C"/>
    <w:rsid w:val="007633C5"/>
    <w:rsid w:val="00772A31"/>
    <w:rsid w:val="00774851"/>
    <w:rsid w:val="00784343"/>
    <w:rsid w:val="00785E04"/>
    <w:rsid w:val="007A64A8"/>
    <w:rsid w:val="007C37FA"/>
    <w:rsid w:val="007D64DB"/>
    <w:rsid w:val="007D6D4F"/>
    <w:rsid w:val="007F1A1D"/>
    <w:rsid w:val="0080757A"/>
    <w:rsid w:val="00824D95"/>
    <w:rsid w:val="0082652F"/>
    <w:rsid w:val="0085537C"/>
    <w:rsid w:val="00856301"/>
    <w:rsid w:val="00860503"/>
    <w:rsid w:val="00870B1F"/>
    <w:rsid w:val="008767F4"/>
    <w:rsid w:val="00882231"/>
    <w:rsid w:val="008A3764"/>
    <w:rsid w:val="008A6AAF"/>
    <w:rsid w:val="008B730E"/>
    <w:rsid w:val="008D4BB8"/>
    <w:rsid w:val="008E0B76"/>
    <w:rsid w:val="008E1DDF"/>
    <w:rsid w:val="008E672F"/>
    <w:rsid w:val="00907AF4"/>
    <w:rsid w:val="00921264"/>
    <w:rsid w:val="00935074"/>
    <w:rsid w:val="009364E8"/>
    <w:rsid w:val="00943C0A"/>
    <w:rsid w:val="009A079E"/>
    <w:rsid w:val="009B1A5D"/>
    <w:rsid w:val="009B50F4"/>
    <w:rsid w:val="009B672C"/>
    <w:rsid w:val="009C73ED"/>
    <w:rsid w:val="009D32B6"/>
    <w:rsid w:val="009D77E1"/>
    <w:rsid w:val="00A34ACA"/>
    <w:rsid w:val="00A522C8"/>
    <w:rsid w:val="00A6134D"/>
    <w:rsid w:val="00A707DD"/>
    <w:rsid w:val="00A720BE"/>
    <w:rsid w:val="00A73BE0"/>
    <w:rsid w:val="00A744B4"/>
    <w:rsid w:val="00A81720"/>
    <w:rsid w:val="00A91EFE"/>
    <w:rsid w:val="00AA4D0D"/>
    <w:rsid w:val="00AC0453"/>
    <w:rsid w:val="00AD1EA6"/>
    <w:rsid w:val="00AF0E77"/>
    <w:rsid w:val="00B024BA"/>
    <w:rsid w:val="00B20723"/>
    <w:rsid w:val="00B42A28"/>
    <w:rsid w:val="00B52FF7"/>
    <w:rsid w:val="00B55347"/>
    <w:rsid w:val="00B661CA"/>
    <w:rsid w:val="00B82F17"/>
    <w:rsid w:val="00BA14F7"/>
    <w:rsid w:val="00BB6920"/>
    <w:rsid w:val="00BC1D45"/>
    <w:rsid w:val="00BC54DD"/>
    <w:rsid w:val="00BE5544"/>
    <w:rsid w:val="00BF17D2"/>
    <w:rsid w:val="00C135C2"/>
    <w:rsid w:val="00C162D4"/>
    <w:rsid w:val="00C24B25"/>
    <w:rsid w:val="00C27A46"/>
    <w:rsid w:val="00C30BB4"/>
    <w:rsid w:val="00C81DFF"/>
    <w:rsid w:val="00CA365C"/>
    <w:rsid w:val="00CA7395"/>
    <w:rsid w:val="00CB1136"/>
    <w:rsid w:val="00CB1698"/>
    <w:rsid w:val="00CD58D0"/>
    <w:rsid w:val="00CE191E"/>
    <w:rsid w:val="00CE36DF"/>
    <w:rsid w:val="00D11DD1"/>
    <w:rsid w:val="00D1574D"/>
    <w:rsid w:val="00D674A3"/>
    <w:rsid w:val="00D82695"/>
    <w:rsid w:val="00DA2351"/>
    <w:rsid w:val="00DB4B56"/>
    <w:rsid w:val="00DB5145"/>
    <w:rsid w:val="00DB7467"/>
    <w:rsid w:val="00DD17D7"/>
    <w:rsid w:val="00E00A7F"/>
    <w:rsid w:val="00E036CD"/>
    <w:rsid w:val="00E069B4"/>
    <w:rsid w:val="00E0743E"/>
    <w:rsid w:val="00E25710"/>
    <w:rsid w:val="00E407A1"/>
    <w:rsid w:val="00E50F2E"/>
    <w:rsid w:val="00E5164D"/>
    <w:rsid w:val="00E54791"/>
    <w:rsid w:val="00E66A2E"/>
    <w:rsid w:val="00E67A46"/>
    <w:rsid w:val="00E67A5C"/>
    <w:rsid w:val="00E740F2"/>
    <w:rsid w:val="00E74C07"/>
    <w:rsid w:val="00E75EF8"/>
    <w:rsid w:val="00E76B73"/>
    <w:rsid w:val="00E9152F"/>
    <w:rsid w:val="00EB26DC"/>
    <w:rsid w:val="00ED2592"/>
    <w:rsid w:val="00ED6CAC"/>
    <w:rsid w:val="00EF2E50"/>
    <w:rsid w:val="00F07640"/>
    <w:rsid w:val="00F11546"/>
    <w:rsid w:val="00F14423"/>
    <w:rsid w:val="00F31D64"/>
    <w:rsid w:val="00F33428"/>
    <w:rsid w:val="00F36007"/>
    <w:rsid w:val="00F53F1D"/>
    <w:rsid w:val="00F54EB7"/>
    <w:rsid w:val="00F97219"/>
    <w:rsid w:val="00FB042D"/>
    <w:rsid w:val="00FB6C55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7BC"/>
  <w15:docId w15:val="{BF617674-7C4D-4898-8D5A-404389FD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2C8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522C8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A522C8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A522C8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73E96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3E96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73E96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73E96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52014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2014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5E6A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1154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45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7CAF-D8A2-4419-ABCA-BDBE4126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157</cp:revision>
  <dcterms:created xsi:type="dcterms:W3CDTF">2018-08-15T19:02:00Z</dcterms:created>
  <dcterms:modified xsi:type="dcterms:W3CDTF">2025-07-31T11:02:00Z</dcterms:modified>
</cp:coreProperties>
</file>